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522E63" w:rsidRDefault="00464BCE" w:rsidP="00C164A4">
      <w:pPr>
        <w:spacing w:line="240" w:lineRule="auto"/>
        <w:rPr>
          <w:rFonts w:eastAsia="Times New Roman" w:cs="Times New Roman"/>
          <w:b/>
          <w:color w:val="000000"/>
          <w:sz w:val="32"/>
          <w:szCs w:val="32"/>
          <w:lang w:val="en-GB"/>
        </w:rPr>
      </w:pPr>
      <w:bookmarkStart w:id="0" w:name="_Hlk41475297"/>
      <w:bookmarkStart w:id="1" w:name="_Hlk46230558"/>
      <w:bookmarkStart w:id="2" w:name="_GoBack"/>
      <w:bookmarkEnd w:id="2"/>
    </w:p>
    <w:bookmarkEnd w:id="0"/>
    <w:bookmarkEnd w:id="1"/>
    <w:p w14:paraId="453B1BDD" w14:textId="1838CB2F" w:rsidR="00EB49B5" w:rsidRPr="00522E63" w:rsidRDefault="00BF753C" w:rsidP="00EB49B5">
      <w:pPr>
        <w:spacing w:line="240" w:lineRule="auto"/>
        <w:jc w:val="center"/>
        <w:rPr>
          <w:rFonts w:eastAsia="Times New Roman" w:cs="Times New Roman"/>
          <w:b/>
          <w:color w:val="000000"/>
          <w:sz w:val="32"/>
          <w:szCs w:val="32"/>
          <w:lang w:val="en-GB"/>
        </w:rPr>
      </w:pPr>
      <w:r w:rsidRPr="00522E63">
        <w:rPr>
          <w:rFonts w:eastAsia="Times New Roman" w:cs="Times New Roman"/>
          <w:b/>
          <w:color w:val="000000"/>
          <w:sz w:val="32"/>
          <w:szCs w:val="32"/>
          <w:lang w:val="en-GB"/>
        </w:rPr>
        <w:t>Press Release</w:t>
      </w:r>
    </w:p>
    <w:p w14:paraId="76E712C5" w14:textId="20F02C3F" w:rsidR="000A42C4" w:rsidRPr="00522E63" w:rsidRDefault="00BF753C" w:rsidP="00EB49B5">
      <w:pPr>
        <w:spacing w:line="240" w:lineRule="auto"/>
        <w:jc w:val="center"/>
        <w:rPr>
          <w:rFonts w:eastAsia="Times New Roman" w:cs="Times New Roman"/>
          <w:b/>
          <w:color w:val="000000"/>
          <w:sz w:val="32"/>
          <w:szCs w:val="32"/>
          <w:lang w:val="en-GB"/>
        </w:rPr>
      </w:pPr>
      <w:r w:rsidRPr="00522E63">
        <w:rPr>
          <w:rFonts w:eastAsia="Times New Roman" w:cs="Times New Roman"/>
          <w:b/>
          <w:color w:val="000000"/>
          <w:sz w:val="32"/>
          <w:szCs w:val="32"/>
          <w:lang w:val="en-GB"/>
        </w:rPr>
        <w:t xml:space="preserve">The </w:t>
      </w:r>
      <w:r w:rsidR="00522E63" w:rsidRPr="00522E63">
        <w:rPr>
          <w:rFonts w:eastAsia="Times New Roman" w:cs="Times New Roman"/>
          <w:b/>
          <w:color w:val="000000"/>
          <w:sz w:val="32"/>
          <w:szCs w:val="32"/>
          <w:lang w:val="en-GB"/>
        </w:rPr>
        <w:t xml:space="preserve">Romanian </w:t>
      </w:r>
      <w:r w:rsidRPr="00522E63">
        <w:rPr>
          <w:rFonts w:eastAsia="Times New Roman" w:cs="Times New Roman"/>
          <w:b/>
          <w:color w:val="000000"/>
          <w:sz w:val="32"/>
          <w:szCs w:val="32"/>
          <w:lang w:val="en-GB"/>
        </w:rPr>
        <w:t xml:space="preserve">National </w:t>
      </w:r>
      <w:proofErr w:type="spellStart"/>
      <w:r w:rsidRPr="00522E63">
        <w:rPr>
          <w:rFonts w:eastAsia="Times New Roman" w:cs="Times New Roman"/>
          <w:b/>
          <w:color w:val="000000"/>
          <w:sz w:val="32"/>
          <w:szCs w:val="32"/>
          <w:lang w:val="en-GB"/>
        </w:rPr>
        <w:t>Cyebersecurity</w:t>
      </w:r>
      <w:proofErr w:type="spellEnd"/>
      <w:r w:rsidRPr="00522E63">
        <w:rPr>
          <w:rFonts w:eastAsia="Times New Roman" w:cs="Times New Roman"/>
          <w:b/>
          <w:color w:val="000000"/>
          <w:sz w:val="32"/>
          <w:szCs w:val="32"/>
          <w:lang w:val="en-GB"/>
        </w:rPr>
        <w:t xml:space="preserve"> Directorate</w:t>
      </w:r>
      <w:r w:rsidR="00EB49B5" w:rsidRPr="00522E63">
        <w:rPr>
          <w:rFonts w:eastAsia="Times New Roman" w:cs="Times New Roman"/>
          <w:b/>
          <w:color w:val="000000"/>
          <w:sz w:val="32"/>
          <w:szCs w:val="32"/>
          <w:lang w:val="en-GB"/>
        </w:rPr>
        <w:t xml:space="preserve"> (NC</w:t>
      </w:r>
      <w:r w:rsidRPr="00522E63">
        <w:rPr>
          <w:rFonts w:eastAsia="Times New Roman" w:cs="Times New Roman"/>
          <w:b/>
          <w:color w:val="000000"/>
          <w:sz w:val="32"/>
          <w:szCs w:val="32"/>
          <w:lang w:val="en-GB"/>
        </w:rPr>
        <w:t>SD</w:t>
      </w:r>
      <w:r w:rsidR="00EB49B5" w:rsidRPr="00522E63">
        <w:rPr>
          <w:rFonts w:eastAsia="Times New Roman" w:cs="Times New Roman"/>
          <w:b/>
          <w:color w:val="000000"/>
          <w:sz w:val="32"/>
          <w:szCs w:val="32"/>
          <w:lang w:val="en-GB"/>
        </w:rPr>
        <w:t xml:space="preserve">) </w:t>
      </w:r>
      <w:r w:rsidRPr="00522E63">
        <w:rPr>
          <w:rFonts w:eastAsia="Times New Roman" w:cs="Times New Roman"/>
          <w:b/>
          <w:color w:val="000000"/>
          <w:sz w:val="32"/>
          <w:szCs w:val="32"/>
          <w:lang w:val="en-GB"/>
        </w:rPr>
        <w:t>and</w:t>
      </w:r>
      <w:r w:rsidR="00EB49B5" w:rsidRPr="00522E63">
        <w:rPr>
          <w:rFonts w:eastAsia="Times New Roman" w:cs="Times New Roman"/>
          <w:b/>
          <w:color w:val="000000"/>
          <w:sz w:val="32"/>
          <w:szCs w:val="32"/>
          <w:lang w:val="en-GB"/>
        </w:rPr>
        <w:t xml:space="preserve"> </w:t>
      </w:r>
      <w:proofErr w:type="spellStart"/>
      <w:r w:rsidR="00EB49B5" w:rsidRPr="00522E63">
        <w:rPr>
          <w:rFonts w:eastAsia="Times New Roman" w:cs="Times New Roman"/>
          <w:b/>
          <w:color w:val="000000"/>
          <w:sz w:val="32"/>
          <w:szCs w:val="32"/>
          <w:lang w:val="en-GB"/>
        </w:rPr>
        <w:t>Decalex</w:t>
      </w:r>
      <w:proofErr w:type="spellEnd"/>
      <w:r w:rsidR="00EB49B5" w:rsidRPr="00522E63">
        <w:rPr>
          <w:rFonts w:eastAsia="Times New Roman" w:cs="Times New Roman"/>
          <w:b/>
          <w:color w:val="000000"/>
          <w:sz w:val="32"/>
          <w:szCs w:val="32"/>
          <w:lang w:val="en-GB"/>
        </w:rPr>
        <w:t xml:space="preserve"> </w:t>
      </w:r>
      <w:r w:rsidRPr="00522E63">
        <w:rPr>
          <w:rFonts w:eastAsia="Times New Roman" w:cs="Times New Roman"/>
          <w:b/>
          <w:color w:val="000000"/>
          <w:sz w:val="32"/>
          <w:szCs w:val="32"/>
          <w:lang w:val="en-GB"/>
        </w:rPr>
        <w:t>a</w:t>
      </w:r>
      <w:r w:rsidR="00522E63" w:rsidRPr="00522E63">
        <w:rPr>
          <w:rFonts w:eastAsia="Times New Roman" w:cs="Times New Roman"/>
          <w:b/>
          <w:color w:val="000000"/>
          <w:sz w:val="32"/>
          <w:szCs w:val="32"/>
          <w:lang w:val="en-GB"/>
        </w:rPr>
        <w:t xml:space="preserve">re </w:t>
      </w:r>
      <w:r w:rsidR="00EB49B5" w:rsidRPr="00522E63">
        <w:rPr>
          <w:rFonts w:eastAsia="Times New Roman" w:cs="Times New Roman"/>
          <w:b/>
          <w:color w:val="000000"/>
          <w:sz w:val="32"/>
          <w:szCs w:val="32"/>
          <w:lang w:val="en-GB"/>
        </w:rPr>
        <w:t>la</w:t>
      </w:r>
      <w:r w:rsidRPr="00522E63">
        <w:rPr>
          <w:rFonts w:eastAsia="Times New Roman" w:cs="Times New Roman"/>
          <w:b/>
          <w:color w:val="000000"/>
          <w:sz w:val="32"/>
          <w:szCs w:val="32"/>
          <w:lang w:val="en-GB"/>
        </w:rPr>
        <w:t xml:space="preserve">unching </w:t>
      </w:r>
      <w:r w:rsidR="00522E63" w:rsidRPr="00522E63">
        <w:rPr>
          <w:rFonts w:eastAsia="Times New Roman" w:cs="Times New Roman"/>
          <w:b/>
          <w:color w:val="000000"/>
          <w:sz w:val="32"/>
          <w:szCs w:val="32"/>
          <w:lang w:val="en-GB"/>
        </w:rPr>
        <w:t>a</w:t>
      </w:r>
      <w:r w:rsidRPr="00522E63">
        <w:rPr>
          <w:rFonts w:eastAsia="Times New Roman" w:cs="Times New Roman"/>
          <w:b/>
          <w:color w:val="000000"/>
          <w:sz w:val="32"/>
          <w:szCs w:val="32"/>
          <w:lang w:val="en-GB"/>
        </w:rPr>
        <w:t xml:space="preserve"> </w:t>
      </w:r>
      <w:r w:rsidR="00522E63" w:rsidRPr="00522E63">
        <w:rPr>
          <w:rFonts w:eastAsia="Times New Roman" w:cs="Times New Roman"/>
          <w:b/>
          <w:color w:val="000000"/>
          <w:sz w:val="32"/>
          <w:szCs w:val="32"/>
          <w:lang w:val="en-GB"/>
        </w:rPr>
        <w:t>data protection</w:t>
      </w:r>
      <w:r w:rsidRPr="00522E63">
        <w:rPr>
          <w:rFonts w:eastAsia="Times New Roman" w:cs="Times New Roman"/>
          <w:b/>
          <w:color w:val="000000"/>
          <w:sz w:val="32"/>
          <w:szCs w:val="32"/>
          <w:lang w:val="en-GB"/>
        </w:rPr>
        <w:t xml:space="preserve"> </w:t>
      </w:r>
      <w:r w:rsidR="00522E63" w:rsidRPr="00522E63">
        <w:rPr>
          <w:rFonts w:eastAsia="Times New Roman" w:cs="Times New Roman"/>
          <w:b/>
          <w:color w:val="000000"/>
          <w:sz w:val="32"/>
          <w:szCs w:val="32"/>
          <w:lang w:val="en-GB"/>
        </w:rPr>
        <w:t>g</w:t>
      </w:r>
      <w:r w:rsidRPr="00522E63">
        <w:rPr>
          <w:rFonts w:eastAsia="Times New Roman" w:cs="Times New Roman"/>
          <w:b/>
          <w:color w:val="000000"/>
          <w:sz w:val="32"/>
          <w:szCs w:val="32"/>
          <w:lang w:val="en-GB"/>
        </w:rPr>
        <w:t xml:space="preserve">uide dedicated to </w:t>
      </w:r>
      <w:r w:rsidR="00522E63">
        <w:rPr>
          <w:rFonts w:eastAsia="Times New Roman" w:cs="Times New Roman"/>
          <w:b/>
          <w:color w:val="000000"/>
          <w:sz w:val="32"/>
          <w:szCs w:val="32"/>
          <w:lang w:val="en-GB"/>
        </w:rPr>
        <w:t>companies</w:t>
      </w:r>
    </w:p>
    <w:p w14:paraId="34CF4F76" w14:textId="77777777" w:rsidR="00EB49B5" w:rsidRPr="00522E63" w:rsidRDefault="00EB49B5" w:rsidP="00EB49B5">
      <w:pPr>
        <w:spacing w:line="240" w:lineRule="auto"/>
        <w:jc w:val="center"/>
        <w:rPr>
          <w:rFonts w:eastAsia="Times New Roman" w:cs="Times New Roman"/>
          <w:b/>
          <w:color w:val="000000"/>
          <w:sz w:val="22"/>
          <w:lang w:val="en-GB"/>
        </w:rPr>
      </w:pPr>
    </w:p>
    <w:p w14:paraId="7DD1EF7D" w14:textId="7D8079A6" w:rsidR="00523DC2" w:rsidRPr="00522E63" w:rsidRDefault="00BF753C" w:rsidP="0095123D">
      <w:pPr>
        <w:spacing w:line="240" w:lineRule="auto"/>
        <w:rPr>
          <w:rFonts w:eastAsia="Times New Roman" w:cs="Times New Roman"/>
          <w:b/>
          <w:color w:val="000000"/>
          <w:sz w:val="22"/>
          <w:lang w:val="en-GB"/>
        </w:rPr>
      </w:pPr>
      <w:r w:rsidRPr="00522E63">
        <w:rPr>
          <w:rFonts w:eastAsia="Times New Roman" w:cs="Times New Roman"/>
          <w:b/>
          <w:color w:val="000000"/>
          <w:sz w:val="22"/>
          <w:lang w:val="en-GB"/>
        </w:rPr>
        <w:t>Bucharest</w:t>
      </w:r>
      <w:r w:rsidR="00B7770B" w:rsidRPr="00522E63">
        <w:rPr>
          <w:rFonts w:eastAsia="Times New Roman" w:cs="Times New Roman"/>
          <w:b/>
          <w:color w:val="000000"/>
          <w:sz w:val="22"/>
          <w:lang w:val="en-GB"/>
        </w:rPr>
        <w:t xml:space="preserve">, </w:t>
      </w:r>
      <w:proofErr w:type="spellStart"/>
      <w:r w:rsidRPr="00522E63">
        <w:rPr>
          <w:rFonts w:eastAsia="Times New Roman" w:cs="Times New Roman"/>
          <w:b/>
          <w:color w:val="000000"/>
          <w:sz w:val="22"/>
          <w:lang w:val="en-GB"/>
        </w:rPr>
        <w:t>O</w:t>
      </w:r>
      <w:r w:rsidR="00EB49B5" w:rsidRPr="00522E63">
        <w:rPr>
          <w:rFonts w:eastAsia="Times New Roman" w:cs="Times New Roman"/>
          <w:b/>
          <w:color w:val="000000"/>
          <w:sz w:val="22"/>
          <w:lang w:val="en-GB"/>
        </w:rPr>
        <w:t>ctomb</w:t>
      </w:r>
      <w:r w:rsidRPr="00522E63">
        <w:rPr>
          <w:rFonts w:eastAsia="Times New Roman" w:cs="Times New Roman"/>
          <w:b/>
          <w:color w:val="000000"/>
          <w:sz w:val="22"/>
          <w:lang w:val="en-GB"/>
        </w:rPr>
        <w:t>er</w:t>
      </w:r>
      <w:proofErr w:type="spellEnd"/>
      <w:r w:rsidRPr="00522E63">
        <w:rPr>
          <w:rFonts w:eastAsia="Times New Roman" w:cs="Times New Roman"/>
          <w:b/>
          <w:color w:val="000000"/>
          <w:sz w:val="22"/>
          <w:lang w:val="en-GB"/>
        </w:rPr>
        <w:t xml:space="preserve"> 11,</w:t>
      </w:r>
      <w:r w:rsidR="00B7770B" w:rsidRPr="00522E63">
        <w:rPr>
          <w:rFonts w:eastAsia="Times New Roman" w:cs="Times New Roman"/>
          <w:b/>
          <w:color w:val="000000"/>
          <w:sz w:val="22"/>
          <w:lang w:val="en-GB"/>
        </w:rPr>
        <w:t xml:space="preserve"> 2022</w:t>
      </w:r>
    </w:p>
    <w:p w14:paraId="20E6EC74" w14:textId="173A0CB3" w:rsidR="00EB49B5" w:rsidRPr="00522E63" w:rsidRDefault="00BF753C" w:rsidP="00EB49B5">
      <w:pPr>
        <w:spacing w:line="240" w:lineRule="auto"/>
        <w:rPr>
          <w:rFonts w:eastAsia="Times New Roman" w:cs="Times New Roman"/>
          <w:color w:val="000000"/>
          <w:sz w:val="22"/>
          <w:lang w:val="en-GB"/>
        </w:rPr>
      </w:pPr>
      <w:r w:rsidRPr="00522E63">
        <w:rPr>
          <w:rFonts w:eastAsia="Times New Roman" w:cs="Times New Roman"/>
          <w:b/>
          <w:bCs/>
          <w:color w:val="000000"/>
          <w:sz w:val="22"/>
          <w:lang w:val="en-GB"/>
        </w:rPr>
        <w:t>The National Cybersecurity Directorate (</w:t>
      </w:r>
      <w:r w:rsidR="00EB49B5" w:rsidRPr="00522E63">
        <w:rPr>
          <w:rFonts w:eastAsia="Times New Roman" w:cs="Times New Roman"/>
          <w:b/>
          <w:bCs/>
          <w:color w:val="000000"/>
          <w:sz w:val="22"/>
          <w:lang w:val="en-GB"/>
        </w:rPr>
        <w:t>NC</w:t>
      </w:r>
      <w:r w:rsidRPr="00522E63">
        <w:rPr>
          <w:rFonts w:eastAsia="Times New Roman" w:cs="Times New Roman"/>
          <w:b/>
          <w:bCs/>
          <w:color w:val="000000"/>
          <w:sz w:val="22"/>
          <w:lang w:val="en-GB"/>
        </w:rPr>
        <w:t>SD</w:t>
      </w:r>
      <w:r w:rsidR="00EB49B5" w:rsidRPr="00522E63">
        <w:rPr>
          <w:rFonts w:eastAsia="Times New Roman" w:cs="Times New Roman"/>
          <w:b/>
          <w:bCs/>
          <w:color w:val="000000"/>
          <w:sz w:val="22"/>
          <w:lang w:val="en-GB"/>
        </w:rPr>
        <w:t>)</w:t>
      </w:r>
      <w:r w:rsidR="00EB49B5" w:rsidRPr="00522E63">
        <w:rPr>
          <w:rFonts w:eastAsia="Times New Roman" w:cs="Times New Roman"/>
          <w:color w:val="000000"/>
          <w:sz w:val="22"/>
          <w:lang w:val="en-GB"/>
        </w:rPr>
        <w:t xml:space="preserve">, </w:t>
      </w:r>
      <w:r w:rsidRPr="00522E63">
        <w:rPr>
          <w:rFonts w:eastAsia="Times New Roman" w:cs="Times New Roman"/>
          <w:color w:val="000000"/>
          <w:sz w:val="22"/>
          <w:lang w:val="en-GB"/>
        </w:rPr>
        <w:t>alongside</w:t>
      </w:r>
      <w:r w:rsidR="00EB49B5" w:rsidRPr="00522E63">
        <w:rPr>
          <w:rFonts w:eastAsia="Times New Roman" w:cs="Times New Roman"/>
          <w:color w:val="000000"/>
          <w:sz w:val="22"/>
          <w:lang w:val="en-GB"/>
        </w:rPr>
        <w:t xml:space="preserve"> </w:t>
      </w:r>
      <w:proofErr w:type="spellStart"/>
      <w:r w:rsidR="00EB49B5" w:rsidRPr="00522E63">
        <w:rPr>
          <w:rFonts w:eastAsia="Times New Roman" w:cs="Times New Roman"/>
          <w:b/>
          <w:bCs/>
          <w:color w:val="000000"/>
          <w:sz w:val="22"/>
          <w:lang w:val="en-GB"/>
        </w:rPr>
        <w:t>Decalex</w:t>
      </w:r>
      <w:proofErr w:type="spellEnd"/>
      <w:r w:rsidR="00EB49B5" w:rsidRPr="00522E63">
        <w:rPr>
          <w:rFonts w:eastAsia="Times New Roman" w:cs="Times New Roman"/>
          <w:color w:val="000000"/>
          <w:sz w:val="22"/>
          <w:lang w:val="en-GB"/>
        </w:rPr>
        <w:t xml:space="preserve">, </w:t>
      </w:r>
      <w:r w:rsidRPr="00522E63">
        <w:rPr>
          <w:rFonts w:eastAsia="Times New Roman" w:cs="Times New Roman"/>
          <w:color w:val="000000"/>
          <w:sz w:val="22"/>
          <w:lang w:val="en-GB"/>
        </w:rPr>
        <w:t xml:space="preserve">a company specialised in GDPR consulting and data security, announces the launch of a </w:t>
      </w:r>
      <w:hyperlink r:id="rId11" w:history="1">
        <w:r w:rsidRPr="00522E63">
          <w:rPr>
            <w:rStyle w:val="Hyperlink"/>
            <w:rFonts w:eastAsia="Times New Roman" w:cs="Times New Roman"/>
            <w:sz w:val="22"/>
            <w:lang w:val="en-GB"/>
          </w:rPr>
          <w:t>GDPR Guide</w:t>
        </w:r>
      </w:hyperlink>
      <w:r w:rsidRPr="00522E63">
        <w:rPr>
          <w:rFonts w:eastAsia="Times New Roman" w:cs="Times New Roman"/>
          <w:color w:val="000000"/>
          <w:sz w:val="22"/>
          <w:lang w:val="en-GB"/>
        </w:rPr>
        <w:t>, dedicated to medium and large Romanian organisations, as they are the most exposed to security risks.</w:t>
      </w:r>
    </w:p>
    <w:p w14:paraId="5609D85C" w14:textId="610DAC2B" w:rsidR="00EB49B5" w:rsidRPr="00522E63" w:rsidRDefault="00BE669B" w:rsidP="00EB49B5">
      <w:pPr>
        <w:spacing w:line="240" w:lineRule="auto"/>
        <w:rPr>
          <w:rFonts w:eastAsia="Times New Roman" w:cs="Times New Roman"/>
          <w:color w:val="000000"/>
          <w:sz w:val="22"/>
          <w:lang w:val="en-GB"/>
        </w:rPr>
      </w:pPr>
      <w:r w:rsidRPr="00522E63">
        <w:rPr>
          <w:rFonts w:eastAsia="Times New Roman" w:cs="Times New Roman"/>
          <w:color w:val="000000"/>
          <w:sz w:val="22"/>
          <w:lang w:val="en-GB"/>
        </w:rPr>
        <w:t>The guide was designed to provide real, simple and understandable support for companies that want to correctly implement GDPR provisions at the level of internal operations and flows, as well as in relations with third parties, regardless of who they are: business partners, shareholders, customers, employees.</w:t>
      </w:r>
    </w:p>
    <w:p w14:paraId="52BE206E" w14:textId="620FC557" w:rsidR="00EB49B5" w:rsidRPr="00522E63" w:rsidRDefault="00BE669B" w:rsidP="00EB49B5">
      <w:pPr>
        <w:spacing w:line="240" w:lineRule="auto"/>
        <w:rPr>
          <w:rFonts w:eastAsia="Times New Roman" w:cs="Times New Roman"/>
          <w:color w:val="000000"/>
          <w:sz w:val="22"/>
          <w:lang w:val="en-GB"/>
        </w:rPr>
      </w:pPr>
      <w:r w:rsidRPr="00522E63">
        <w:rPr>
          <w:rFonts w:eastAsia="Times New Roman" w:cs="Times New Roman"/>
          <w:i/>
          <w:iCs/>
          <w:color w:val="000000"/>
          <w:sz w:val="22"/>
          <w:lang w:val="en-GB"/>
        </w:rPr>
        <w:t xml:space="preserve">“We wanted the material to contain simple and clear explanations so that it could be relatively easily understood and applied by the employees responsible for the application of GDPR rules and by the decision </w:t>
      </w:r>
      <w:proofErr w:type="gramStart"/>
      <w:r w:rsidR="005614FA" w:rsidRPr="00522E63">
        <w:rPr>
          <w:rFonts w:eastAsia="Times New Roman" w:cs="Times New Roman"/>
          <w:i/>
          <w:iCs/>
          <w:color w:val="000000"/>
          <w:sz w:val="22"/>
          <w:lang w:val="en-GB"/>
        </w:rPr>
        <w:t>makers“</w:t>
      </w:r>
      <w:proofErr w:type="gramEnd"/>
      <w:r w:rsidR="00EB49B5" w:rsidRPr="00522E63">
        <w:rPr>
          <w:rFonts w:eastAsia="Times New Roman" w:cs="Times New Roman"/>
          <w:color w:val="000000"/>
          <w:sz w:val="22"/>
          <w:lang w:val="en-GB"/>
        </w:rPr>
        <w:t xml:space="preserve">, </w:t>
      </w:r>
      <w:r w:rsidRPr="00522E63">
        <w:rPr>
          <w:rFonts w:eastAsia="Times New Roman" w:cs="Times New Roman"/>
          <w:color w:val="000000"/>
          <w:sz w:val="22"/>
          <w:lang w:val="en-GB"/>
        </w:rPr>
        <w:t>declared</w:t>
      </w:r>
      <w:r w:rsidR="00EB49B5" w:rsidRPr="00522E63">
        <w:rPr>
          <w:rFonts w:eastAsia="Times New Roman" w:cs="Times New Roman"/>
          <w:color w:val="000000"/>
          <w:sz w:val="22"/>
          <w:lang w:val="en-GB"/>
        </w:rPr>
        <w:t xml:space="preserve"> </w:t>
      </w:r>
      <w:r w:rsidR="00EB49B5" w:rsidRPr="00522E63">
        <w:rPr>
          <w:rFonts w:eastAsia="Times New Roman" w:cs="Times New Roman"/>
          <w:b/>
          <w:color w:val="000000"/>
          <w:sz w:val="22"/>
          <w:lang w:val="en-GB"/>
        </w:rPr>
        <w:t xml:space="preserve">Dan </w:t>
      </w:r>
      <w:proofErr w:type="spellStart"/>
      <w:r w:rsidR="00EB49B5" w:rsidRPr="00522E63">
        <w:rPr>
          <w:rFonts w:eastAsia="Times New Roman" w:cs="Times New Roman"/>
          <w:b/>
          <w:color w:val="000000"/>
          <w:sz w:val="22"/>
          <w:lang w:val="en-GB"/>
        </w:rPr>
        <w:t>Cîmpean</w:t>
      </w:r>
      <w:proofErr w:type="spellEnd"/>
      <w:r w:rsidR="00EB49B5" w:rsidRPr="00522E63">
        <w:rPr>
          <w:rFonts w:eastAsia="Times New Roman" w:cs="Times New Roman"/>
          <w:color w:val="000000"/>
          <w:sz w:val="22"/>
          <w:lang w:val="en-GB"/>
        </w:rPr>
        <w:t xml:space="preserve">, </w:t>
      </w:r>
      <w:r w:rsidRPr="00522E63">
        <w:rPr>
          <w:rFonts w:eastAsia="Times New Roman" w:cs="Times New Roman"/>
          <w:color w:val="000000"/>
          <w:sz w:val="22"/>
          <w:lang w:val="en-GB"/>
        </w:rPr>
        <w:t>the Director of NCSD</w:t>
      </w:r>
      <w:r w:rsidR="00EB49B5" w:rsidRPr="00522E63">
        <w:rPr>
          <w:rFonts w:eastAsia="Times New Roman" w:cs="Times New Roman"/>
          <w:color w:val="000000"/>
          <w:sz w:val="22"/>
          <w:lang w:val="en-GB"/>
        </w:rPr>
        <w:t>.</w:t>
      </w:r>
    </w:p>
    <w:p w14:paraId="09620491" w14:textId="69BF22F0" w:rsidR="00BE669B" w:rsidRPr="00522E63" w:rsidRDefault="00BE669B" w:rsidP="00EB49B5">
      <w:pPr>
        <w:spacing w:line="240" w:lineRule="auto"/>
        <w:rPr>
          <w:rFonts w:eastAsia="Times New Roman" w:cs="Times New Roman"/>
          <w:color w:val="000000"/>
          <w:sz w:val="22"/>
          <w:lang w:val="en-GB"/>
        </w:rPr>
      </w:pPr>
      <w:r w:rsidRPr="00522E63">
        <w:rPr>
          <w:rFonts w:eastAsia="Times New Roman" w:cs="Times New Roman"/>
          <w:color w:val="000000"/>
          <w:sz w:val="22"/>
          <w:lang w:val="en-GB"/>
        </w:rPr>
        <w:t>The intention is to provide companies, experts and any employee with basic information on the GDPR rules that should be implemented, and then monitored within the company, so as to avoid the risk of non-compliance and, respectively, fines and sanctions in case of inaccuracies found by the control authorities.</w:t>
      </w:r>
    </w:p>
    <w:p w14:paraId="062FF5F0" w14:textId="496BB471" w:rsidR="00EB49B5" w:rsidRPr="00522E63" w:rsidRDefault="00BE669B" w:rsidP="00EB49B5">
      <w:pPr>
        <w:spacing w:line="240" w:lineRule="auto"/>
        <w:rPr>
          <w:rFonts w:eastAsia="Times New Roman" w:cs="Times New Roman"/>
          <w:color w:val="000000"/>
          <w:sz w:val="22"/>
          <w:lang w:val="en-GB"/>
        </w:rPr>
      </w:pPr>
      <w:r w:rsidRPr="00522E63">
        <w:rPr>
          <w:rFonts w:eastAsia="Times New Roman" w:cs="Times New Roman"/>
          <w:i/>
          <w:iCs/>
          <w:color w:val="000000"/>
          <w:sz w:val="22"/>
          <w:lang w:val="en-GB"/>
        </w:rPr>
        <w:t>“We have specified the basic rules a company must comply with, and in the last few months, before offering it to the general public, we have made sure that we have foreseen absolutely everything necessary to follow minimum compliance rules in this field.</w:t>
      </w:r>
      <w:r w:rsidR="00EB49B5" w:rsidRPr="00522E63">
        <w:rPr>
          <w:rFonts w:eastAsia="Times New Roman" w:cs="Times New Roman"/>
          <w:i/>
          <w:iCs/>
          <w:color w:val="000000"/>
          <w:sz w:val="22"/>
          <w:lang w:val="en-GB"/>
        </w:rPr>
        <w:t>”</w:t>
      </w:r>
      <w:r w:rsidR="00EB49B5" w:rsidRPr="00522E63">
        <w:rPr>
          <w:rFonts w:eastAsia="Times New Roman" w:cs="Times New Roman"/>
          <w:color w:val="000000"/>
          <w:sz w:val="22"/>
          <w:lang w:val="en-GB"/>
        </w:rPr>
        <w:t xml:space="preserve">, </w:t>
      </w:r>
      <w:r w:rsidRPr="00522E63">
        <w:rPr>
          <w:rFonts w:eastAsia="Times New Roman" w:cs="Times New Roman"/>
          <w:color w:val="000000"/>
          <w:sz w:val="22"/>
          <w:lang w:val="en-GB"/>
        </w:rPr>
        <w:t>declared</w:t>
      </w:r>
      <w:r w:rsidR="00EB49B5" w:rsidRPr="00522E63">
        <w:rPr>
          <w:rFonts w:eastAsia="Times New Roman" w:cs="Times New Roman"/>
          <w:color w:val="000000"/>
          <w:sz w:val="22"/>
          <w:lang w:val="en-GB"/>
        </w:rPr>
        <w:t xml:space="preserve"> </w:t>
      </w:r>
      <w:r w:rsidR="00EB49B5" w:rsidRPr="00522E63">
        <w:rPr>
          <w:rFonts w:eastAsia="Times New Roman" w:cs="Times New Roman"/>
          <w:b/>
          <w:color w:val="000000"/>
          <w:sz w:val="22"/>
          <w:lang w:val="en-GB"/>
        </w:rPr>
        <w:t>Cristian Deca</w:t>
      </w:r>
      <w:r w:rsidR="00EB49B5" w:rsidRPr="00522E63">
        <w:rPr>
          <w:rFonts w:eastAsia="Times New Roman" w:cs="Times New Roman"/>
          <w:color w:val="000000"/>
          <w:sz w:val="22"/>
          <w:lang w:val="en-GB"/>
        </w:rPr>
        <w:t xml:space="preserve">, </w:t>
      </w:r>
      <w:r w:rsidRPr="00522E63">
        <w:rPr>
          <w:rFonts w:eastAsia="Times New Roman" w:cs="Times New Roman"/>
          <w:color w:val="000000"/>
          <w:sz w:val="22"/>
          <w:lang w:val="en-GB"/>
        </w:rPr>
        <w:t>co-founder of</w:t>
      </w:r>
      <w:r w:rsidR="00EB49B5" w:rsidRPr="00522E63">
        <w:rPr>
          <w:rFonts w:eastAsia="Times New Roman" w:cs="Times New Roman"/>
          <w:color w:val="000000"/>
          <w:sz w:val="22"/>
          <w:lang w:val="en-GB"/>
        </w:rPr>
        <w:t xml:space="preserve"> </w:t>
      </w:r>
      <w:proofErr w:type="spellStart"/>
      <w:r w:rsidR="00EB49B5" w:rsidRPr="00522E63">
        <w:rPr>
          <w:rFonts w:eastAsia="Times New Roman" w:cs="Times New Roman"/>
          <w:color w:val="000000"/>
          <w:sz w:val="22"/>
          <w:lang w:val="en-GB"/>
        </w:rPr>
        <w:t>Decalex</w:t>
      </w:r>
      <w:proofErr w:type="spellEnd"/>
      <w:r w:rsidR="00EB49B5" w:rsidRPr="00522E63">
        <w:rPr>
          <w:rFonts w:eastAsia="Times New Roman" w:cs="Times New Roman"/>
          <w:color w:val="000000"/>
          <w:sz w:val="22"/>
          <w:lang w:val="en-GB"/>
        </w:rPr>
        <w:t xml:space="preserve">. </w:t>
      </w:r>
    </w:p>
    <w:p w14:paraId="71B0C377" w14:textId="77777777" w:rsidR="00BE669B" w:rsidRPr="00522E63" w:rsidRDefault="00BE669B" w:rsidP="00EB49B5">
      <w:pPr>
        <w:spacing w:line="240" w:lineRule="auto"/>
        <w:rPr>
          <w:rFonts w:eastAsia="Times New Roman" w:cs="Times New Roman"/>
          <w:color w:val="000000"/>
          <w:sz w:val="22"/>
          <w:lang w:val="en-GB"/>
        </w:rPr>
      </w:pPr>
      <w:r w:rsidRPr="00522E63">
        <w:rPr>
          <w:rFonts w:eastAsia="Times New Roman" w:cs="Times New Roman"/>
          <w:i/>
          <w:iCs/>
          <w:color w:val="000000"/>
          <w:sz w:val="22"/>
          <w:lang w:val="en-GB"/>
        </w:rPr>
        <w:t xml:space="preserve">“At the base of the creation of the guide is the experience of the </w:t>
      </w:r>
      <w:proofErr w:type="spellStart"/>
      <w:r w:rsidRPr="00522E63">
        <w:rPr>
          <w:rFonts w:eastAsia="Times New Roman" w:cs="Times New Roman"/>
          <w:i/>
          <w:iCs/>
          <w:color w:val="000000"/>
          <w:sz w:val="22"/>
          <w:lang w:val="en-GB"/>
        </w:rPr>
        <w:t>Decalex</w:t>
      </w:r>
      <w:proofErr w:type="spellEnd"/>
      <w:r w:rsidRPr="00522E63">
        <w:rPr>
          <w:rFonts w:eastAsia="Times New Roman" w:cs="Times New Roman"/>
          <w:i/>
          <w:iCs/>
          <w:color w:val="000000"/>
          <w:sz w:val="22"/>
          <w:lang w:val="en-GB"/>
        </w:rPr>
        <w:t xml:space="preserve"> team, which audited and implemented the provisions of Regulation 679/2016 (GDPR) in over 500 companies in the country and abroad,” </w:t>
      </w:r>
      <w:r w:rsidRPr="00522E63">
        <w:rPr>
          <w:rFonts w:eastAsia="Times New Roman" w:cs="Times New Roman"/>
          <w:color w:val="000000"/>
          <w:sz w:val="22"/>
          <w:lang w:val="en-GB"/>
        </w:rPr>
        <w:t>he added</w:t>
      </w:r>
      <w:r w:rsidRPr="00522E63">
        <w:rPr>
          <w:rFonts w:eastAsia="Times New Roman" w:cs="Times New Roman"/>
          <w:i/>
          <w:iCs/>
          <w:color w:val="000000"/>
          <w:sz w:val="22"/>
          <w:lang w:val="en-GB"/>
        </w:rPr>
        <w:t>.</w:t>
      </w:r>
    </w:p>
    <w:p w14:paraId="3A51746E" w14:textId="1354DDBB" w:rsidR="004340A7" w:rsidRPr="00522E63" w:rsidRDefault="004340A7" w:rsidP="00EB49B5">
      <w:pPr>
        <w:spacing w:line="240" w:lineRule="auto"/>
        <w:rPr>
          <w:rFonts w:eastAsia="Times New Roman" w:cs="Times New Roman"/>
          <w:color w:val="000000"/>
          <w:sz w:val="22"/>
          <w:lang w:val="en-GB"/>
        </w:rPr>
      </w:pPr>
      <w:r w:rsidRPr="00522E63">
        <w:rPr>
          <w:rFonts w:eastAsia="Times New Roman" w:cs="Times New Roman"/>
          <w:color w:val="000000"/>
          <w:sz w:val="22"/>
          <w:lang w:val="en-GB"/>
        </w:rPr>
        <w:t xml:space="preserve">The first GDPR Guide of this type in Romania is the result of the collaboration between the </w:t>
      </w:r>
      <w:proofErr w:type="spellStart"/>
      <w:r w:rsidRPr="00522E63">
        <w:rPr>
          <w:rFonts w:eastAsia="Times New Roman" w:cs="Times New Roman"/>
          <w:color w:val="000000"/>
          <w:sz w:val="22"/>
          <w:lang w:val="en-GB"/>
        </w:rPr>
        <w:t>Decalex</w:t>
      </w:r>
      <w:proofErr w:type="spellEnd"/>
      <w:r w:rsidRPr="00522E63">
        <w:rPr>
          <w:rFonts w:eastAsia="Times New Roman" w:cs="Times New Roman"/>
          <w:color w:val="000000"/>
          <w:sz w:val="22"/>
          <w:lang w:val="en-GB"/>
        </w:rPr>
        <w:t xml:space="preserve"> team and the cybersecurity experts of NCSD, whose technical expertise is a good starting basis in any project regarding the compliance of Romanian companies with the GDPR rules of the Romanian and European legislation.</w:t>
      </w:r>
    </w:p>
    <w:p w14:paraId="1D954034" w14:textId="22D4CC80" w:rsidR="004340A7" w:rsidRPr="00522E63" w:rsidRDefault="004340A7" w:rsidP="00EB49B5">
      <w:pPr>
        <w:spacing w:line="240" w:lineRule="auto"/>
        <w:rPr>
          <w:rFonts w:eastAsia="Times New Roman" w:cs="Times New Roman"/>
          <w:color w:val="000000"/>
          <w:sz w:val="22"/>
          <w:lang w:val="en-GB"/>
        </w:rPr>
      </w:pPr>
      <w:r w:rsidRPr="00522E63">
        <w:rPr>
          <w:rFonts w:eastAsia="Times New Roman" w:cs="Times New Roman"/>
          <w:color w:val="000000"/>
          <w:sz w:val="22"/>
          <w:lang w:val="en-GB"/>
        </w:rPr>
        <w:t xml:space="preserve">All companies and organisations that process personal data have the obligation to implement compliance measures and also to periodically check through an annual re-assessment process whether the measures applied are still necessary, whether they require improvement, or whether the compliance documentation needs to be updated. Depending on the degree of complexity of data processing, these annual compliance programmes involve more or fewer actions. The GDPR guide </w:t>
      </w:r>
      <w:r w:rsidR="00E716C6" w:rsidRPr="00522E63">
        <w:rPr>
          <w:rFonts w:eastAsia="Times New Roman" w:cs="Times New Roman"/>
          <w:color w:val="000000"/>
          <w:sz w:val="22"/>
          <w:lang w:val="en-GB"/>
        </w:rPr>
        <w:t>explains these</w:t>
      </w:r>
      <w:r w:rsidRPr="00522E63">
        <w:rPr>
          <w:rFonts w:eastAsia="Times New Roman" w:cs="Times New Roman"/>
          <w:color w:val="000000"/>
          <w:sz w:val="22"/>
          <w:lang w:val="en-GB"/>
        </w:rPr>
        <w:t xml:space="preserve"> rules step by step, with a focus on their implementation and monitoring, so that, at the end of each year, the company/organisation is as compliant as possible with the rules in force.</w:t>
      </w:r>
    </w:p>
    <w:p w14:paraId="06EF61B1" w14:textId="1FACA692" w:rsidR="00EB49B5" w:rsidRPr="00522E63" w:rsidRDefault="004340A7" w:rsidP="00EB49B5">
      <w:pPr>
        <w:spacing w:line="240" w:lineRule="auto"/>
        <w:rPr>
          <w:rFonts w:eastAsia="Times New Roman" w:cs="Times New Roman"/>
          <w:b/>
          <w:color w:val="000000"/>
          <w:sz w:val="22"/>
          <w:lang w:val="en-GB"/>
        </w:rPr>
      </w:pPr>
      <w:r w:rsidRPr="00522E63">
        <w:rPr>
          <w:rFonts w:eastAsia="Times New Roman" w:cs="Times New Roman"/>
          <w:b/>
          <w:color w:val="000000"/>
          <w:sz w:val="22"/>
          <w:lang w:val="en-GB"/>
        </w:rPr>
        <w:t xml:space="preserve">About </w:t>
      </w:r>
      <w:proofErr w:type="spellStart"/>
      <w:r w:rsidR="00EB49B5" w:rsidRPr="00522E63">
        <w:rPr>
          <w:rFonts w:eastAsia="Times New Roman" w:cs="Times New Roman"/>
          <w:b/>
          <w:color w:val="000000"/>
          <w:sz w:val="22"/>
          <w:lang w:val="en-GB"/>
        </w:rPr>
        <w:t>Decalex</w:t>
      </w:r>
      <w:proofErr w:type="spellEnd"/>
      <w:r w:rsidR="00EB49B5" w:rsidRPr="00522E63">
        <w:rPr>
          <w:rFonts w:eastAsia="Times New Roman" w:cs="Times New Roman"/>
          <w:b/>
          <w:color w:val="000000"/>
          <w:sz w:val="22"/>
          <w:lang w:val="en-GB"/>
        </w:rPr>
        <w:t xml:space="preserve"> </w:t>
      </w:r>
    </w:p>
    <w:p w14:paraId="0484C116" w14:textId="380ACF23" w:rsidR="004340A7" w:rsidRPr="00522E63" w:rsidRDefault="004340A7" w:rsidP="004340A7">
      <w:pPr>
        <w:spacing w:line="240" w:lineRule="auto"/>
        <w:rPr>
          <w:rFonts w:eastAsia="Times New Roman" w:cs="Times New Roman"/>
          <w:color w:val="000000"/>
          <w:sz w:val="22"/>
          <w:lang w:val="en-GB"/>
        </w:rPr>
      </w:pPr>
      <w:r w:rsidRPr="00522E63">
        <w:rPr>
          <w:rFonts w:eastAsia="Times New Roman" w:cs="Times New Roman"/>
          <w:color w:val="000000"/>
          <w:sz w:val="22"/>
          <w:lang w:val="en-GB"/>
        </w:rPr>
        <w:t xml:space="preserve">With a history of more than 10 years in the field of information security, </w:t>
      </w:r>
      <w:proofErr w:type="spellStart"/>
      <w:r w:rsidRPr="00522E63">
        <w:rPr>
          <w:rFonts w:eastAsia="Times New Roman" w:cs="Times New Roman"/>
          <w:color w:val="000000"/>
          <w:sz w:val="22"/>
          <w:lang w:val="en-GB"/>
        </w:rPr>
        <w:t>Decalex</w:t>
      </w:r>
      <w:proofErr w:type="spellEnd"/>
      <w:r w:rsidRPr="00522E63">
        <w:rPr>
          <w:rFonts w:eastAsia="Times New Roman" w:cs="Times New Roman"/>
          <w:color w:val="000000"/>
          <w:sz w:val="22"/>
          <w:lang w:val="en-GB"/>
        </w:rPr>
        <w:t xml:space="preserve"> is the market leader in compliance and auditing services in the field of personal data protection. </w:t>
      </w:r>
    </w:p>
    <w:p w14:paraId="3401B062" w14:textId="089C0EAE" w:rsidR="00EB49B5" w:rsidRPr="00522E63" w:rsidRDefault="004340A7" w:rsidP="00EB49B5">
      <w:pPr>
        <w:spacing w:line="240" w:lineRule="auto"/>
        <w:rPr>
          <w:rFonts w:eastAsia="Times New Roman" w:cs="Times New Roman"/>
          <w:color w:val="000000"/>
          <w:sz w:val="22"/>
          <w:lang w:val="en-GB"/>
        </w:rPr>
      </w:pPr>
      <w:r w:rsidRPr="00522E63">
        <w:rPr>
          <w:rFonts w:eastAsia="Times New Roman" w:cs="Times New Roman"/>
          <w:color w:val="000000"/>
          <w:sz w:val="22"/>
          <w:lang w:val="en-GB"/>
        </w:rPr>
        <w:t>The company offers the full range of services in the field of compliance with the provisions of Regulation 679/2016 (GDPR): GAP analysis, implementation, consultancy, outsourced DPO services, DPIA etc.</w:t>
      </w:r>
      <w:r w:rsidR="00A021E2" w:rsidRPr="00522E63">
        <w:rPr>
          <w:sz w:val="22"/>
          <w:lang w:val="en-GB"/>
        </w:rPr>
        <w:t xml:space="preserve"> </w:t>
      </w:r>
      <w:r w:rsidR="00A021E2" w:rsidRPr="00522E63">
        <w:rPr>
          <w:rFonts w:eastAsia="Times New Roman" w:cs="Times New Roman"/>
          <w:color w:val="000000"/>
          <w:sz w:val="22"/>
          <w:lang w:val="en-GB"/>
        </w:rPr>
        <w:t xml:space="preserve">All team members are senior and internationally certified as industry experts. </w:t>
      </w:r>
      <w:proofErr w:type="spellStart"/>
      <w:r w:rsidR="00A021E2" w:rsidRPr="00522E63">
        <w:rPr>
          <w:rFonts w:eastAsia="Times New Roman" w:cs="Times New Roman"/>
          <w:color w:val="000000"/>
          <w:sz w:val="22"/>
          <w:lang w:val="en-GB"/>
        </w:rPr>
        <w:t>Decalex</w:t>
      </w:r>
      <w:proofErr w:type="spellEnd"/>
      <w:r w:rsidR="00A021E2" w:rsidRPr="00522E63">
        <w:rPr>
          <w:rFonts w:eastAsia="Times New Roman" w:cs="Times New Roman"/>
          <w:color w:val="000000"/>
          <w:sz w:val="22"/>
          <w:lang w:val="en-GB"/>
        </w:rPr>
        <w:t xml:space="preserve"> is recognised in the market </w:t>
      </w:r>
      <w:r w:rsidR="00A021E2" w:rsidRPr="00522E63">
        <w:rPr>
          <w:rFonts w:eastAsia="Times New Roman" w:cs="Times New Roman"/>
          <w:color w:val="000000"/>
          <w:sz w:val="22"/>
          <w:lang w:val="en-GB"/>
        </w:rPr>
        <w:lastRenderedPageBreak/>
        <w:t>for its innovative solutions and business-oriented approach to creating and managing data protection compliance plans.</w:t>
      </w:r>
    </w:p>
    <w:p w14:paraId="3FD863A3" w14:textId="5ED4DE49" w:rsidR="00EB49B5" w:rsidRPr="00522E63" w:rsidRDefault="00A021E2" w:rsidP="00EB49B5">
      <w:pPr>
        <w:spacing w:line="240" w:lineRule="auto"/>
        <w:rPr>
          <w:rFonts w:eastAsia="Times New Roman" w:cs="Times New Roman"/>
          <w:color w:val="000000"/>
          <w:sz w:val="22"/>
          <w:lang w:val="en-GB"/>
        </w:rPr>
      </w:pPr>
      <w:r w:rsidRPr="00522E63">
        <w:rPr>
          <w:rFonts w:eastAsia="Times New Roman" w:cs="Times New Roman"/>
          <w:color w:val="000000"/>
          <w:sz w:val="22"/>
          <w:lang w:val="en-GB"/>
        </w:rPr>
        <w:t xml:space="preserve">The guide can be downloaded </w:t>
      </w:r>
      <w:r w:rsidR="00E716C6">
        <w:rPr>
          <w:rFonts w:eastAsia="Times New Roman" w:cs="Times New Roman"/>
          <w:color w:val="000000"/>
          <w:sz w:val="22"/>
          <w:lang w:val="en-GB"/>
        </w:rPr>
        <w:t xml:space="preserve">in Romanian language </w:t>
      </w:r>
      <w:r w:rsidRPr="00522E63">
        <w:rPr>
          <w:rFonts w:eastAsia="Times New Roman" w:cs="Times New Roman"/>
          <w:color w:val="000000"/>
          <w:sz w:val="22"/>
          <w:lang w:val="en-GB"/>
        </w:rPr>
        <w:t xml:space="preserve">on the </w:t>
      </w:r>
      <w:r w:rsidR="00E716C6">
        <w:rPr>
          <w:rFonts w:eastAsia="Times New Roman" w:cs="Times New Roman"/>
          <w:color w:val="000000"/>
          <w:sz w:val="22"/>
          <w:lang w:val="en-GB"/>
        </w:rPr>
        <w:t>NCSD</w:t>
      </w:r>
      <w:r w:rsidRPr="00522E63">
        <w:rPr>
          <w:rFonts w:eastAsia="Times New Roman" w:cs="Times New Roman"/>
          <w:color w:val="000000"/>
          <w:sz w:val="22"/>
          <w:lang w:val="en-GB"/>
        </w:rPr>
        <w:t xml:space="preserve"> website at:</w:t>
      </w:r>
      <w:r w:rsidR="00EB49B5" w:rsidRPr="00522E63">
        <w:rPr>
          <w:rFonts w:eastAsia="Times New Roman" w:cs="Times New Roman"/>
          <w:color w:val="000000"/>
          <w:sz w:val="22"/>
          <w:lang w:val="en-GB"/>
        </w:rPr>
        <w:t xml:space="preserve"> </w:t>
      </w:r>
      <w:hyperlink r:id="rId12" w:history="1">
        <w:r w:rsidR="00EB49B5" w:rsidRPr="00522E63">
          <w:rPr>
            <w:rStyle w:val="Hyperlink"/>
            <w:rFonts w:eastAsia="Times New Roman" w:cs="Times New Roman"/>
            <w:sz w:val="22"/>
            <w:lang w:val="en-GB"/>
          </w:rPr>
          <w:t>https://dnsc.ro/vezi/document/dnsc-decalex-ghid-practic-privind-gestionarea-datelor-cu-caracter-personal-de-catre-companii</w:t>
        </w:r>
      </w:hyperlink>
      <w:r w:rsidR="00EB49B5" w:rsidRPr="00522E63">
        <w:rPr>
          <w:rFonts w:eastAsia="Times New Roman" w:cs="Times New Roman"/>
          <w:color w:val="000000"/>
          <w:sz w:val="22"/>
          <w:lang w:val="en-GB"/>
        </w:rPr>
        <w:t xml:space="preserve"> </w:t>
      </w:r>
    </w:p>
    <w:p w14:paraId="5BE6914F" w14:textId="716E9C0E" w:rsidR="0058501B" w:rsidRPr="00522E63" w:rsidRDefault="00A021E2" w:rsidP="00DF682A">
      <w:pPr>
        <w:spacing w:line="240" w:lineRule="auto"/>
        <w:rPr>
          <w:rFonts w:eastAsia="Times New Roman" w:cs="Times New Roman"/>
          <w:color w:val="000000"/>
          <w:sz w:val="22"/>
          <w:lang w:val="en-GB"/>
        </w:rPr>
      </w:pPr>
      <w:r w:rsidRPr="00522E63">
        <w:rPr>
          <w:rFonts w:eastAsia="Times New Roman" w:cs="Times New Roman"/>
          <w:color w:val="000000"/>
          <w:sz w:val="22"/>
          <w:lang w:val="en-GB"/>
        </w:rPr>
        <w:t xml:space="preserve">Additionally, it will also be available </w:t>
      </w:r>
      <w:r w:rsidR="00E716C6">
        <w:rPr>
          <w:rFonts w:eastAsia="Times New Roman" w:cs="Times New Roman"/>
          <w:color w:val="000000"/>
          <w:sz w:val="22"/>
          <w:lang w:val="en-GB"/>
        </w:rPr>
        <w:t xml:space="preserve">in English, </w:t>
      </w:r>
      <w:r w:rsidRPr="00522E63">
        <w:rPr>
          <w:rFonts w:eastAsia="Times New Roman" w:cs="Times New Roman"/>
          <w:color w:val="000000"/>
          <w:sz w:val="22"/>
          <w:lang w:val="en-GB"/>
        </w:rPr>
        <w:t>as soon as possible</w:t>
      </w:r>
      <w:r w:rsidR="00E716C6">
        <w:rPr>
          <w:rFonts w:eastAsia="Times New Roman" w:cs="Times New Roman"/>
          <w:color w:val="000000"/>
          <w:sz w:val="22"/>
          <w:lang w:val="en-GB"/>
        </w:rPr>
        <w:t>, also</w:t>
      </w:r>
      <w:r w:rsidRPr="00522E63">
        <w:rPr>
          <w:rFonts w:eastAsia="Times New Roman" w:cs="Times New Roman"/>
          <w:color w:val="000000"/>
          <w:sz w:val="22"/>
          <w:lang w:val="en-GB"/>
        </w:rPr>
        <w:t xml:space="preserve"> on </w:t>
      </w:r>
      <w:hyperlink r:id="rId13" w:history="1">
        <w:r w:rsidR="00EB49B5" w:rsidRPr="00522E63">
          <w:rPr>
            <w:rStyle w:val="Hyperlink"/>
            <w:rFonts w:eastAsia="Times New Roman" w:cs="Times New Roman"/>
            <w:sz w:val="22"/>
            <w:lang w:val="en-GB"/>
          </w:rPr>
          <w:t>www.decalex.ro</w:t>
        </w:r>
      </w:hyperlink>
      <w:r w:rsidR="00EB49B5" w:rsidRPr="00522E63">
        <w:rPr>
          <w:rFonts w:eastAsia="Times New Roman" w:cs="Times New Roman"/>
          <w:color w:val="000000"/>
          <w:sz w:val="22"/>
          <w:lang w:val="en-GB"/>
        </w:rPr>
        <w:t>.</w:t>
      </w:r>
    </w:p>
    <w:p w14:paraId="1EBAA901" w14:textId="77777777" w:rsidR="00EB49B5" w:rsidRPr="00522E63" w:rsidRDefault="00EB49B5" w:rsidP="00DF682A">
      <w:pPr>
        <w:spacing w:line="240" w:lineRule="auto"/>
        <w:rPr>
          <w:rFonts w:eastAsia="Times New Roman" w:cs="Times New Roman"/>
          <w:color w:val="000000"/>
          <w:sz w:val="22"/>
          <w:lang w:val="en-GB"/>
        </w:rPr>
      </w:pPr>
    </w:p>
    <w:p w14:paraId="1246313D" w14:textId="0CC28A7F" w:rsidR="00EC0CCA" w:rsidRPr="00522E63" w:rsidRDefault="00A021E2" w:rsidP="0095123D">
      <w:pPr>
        <w:spacing w:line="240" w:lineRule="auto"/>
        <w:rPr>
          <w:b/>
          <w:sz w:val="22"/>
          <w:lang w:val="en-GB"/>
        </w:rPr>
      </w:pPr>
      <w:r w:rsidRPr="00522E63">
        <w:rPr>
          <w:rFonts w:eastAsia="Times New Roman" w:cs="Times New Roman"/>
          <w:b/>
          <w:color w:val="000000"/>
          <w:sz w:val="22"/>
          <w:lang w:val="en-GB"/>
        </w:rPr>
        <w:t>Press contact</w:t>
      </w:r>
      <w:r w:rsidR="00B7770B" w:rsidRPr="00522E63">
        <w:rPr>
          <w:rFonts w:eastAsia="Times New Roman" w:cs="Times New Roman"/>
          <w:b/>
          <w:color w:val="000000"/>
          <w:sz w:val="22"/>
          <w:lang w:val="en-GB"/>
        </w:rPr>
        <w:t xml:space="preserve">: Mihai </w:t>
      </w:r>
      <w:proofErr w:type="gramStart"/>
      <w:r w:rsidR="00B7770B" w:rsidRPr="00522E63">
        <w:rPr>
          <w:rFonts w:eastAsia="Times New Roman" w:cs="Times New Roman"/>
          <w:b/>
          <w:color w:val="000000"/>
          <w:sz w:val="22"/>
          <w:lang w:val="en-GB"/>
        </w:rPr>
        <w:t>Rotariu</w:t>
      </w:r>
      <w:r w:rsidR="00523DC2" w:rsidRPr="00522E63">
        <w:rPr>
          <w:rFonts w:eastAsia="Times New Roman" w:cs="Times New Roman"/>
          <w:b/>
          <w:color w:val="000000"/>
          <w:sz w:val="22"/>
          <w:lang w:val="en-GB"/>
        </w:rPr>
        <w:t xml:space="preserve"> </w:t>
      </w:r>
      <w:r w:rsidR="00B7770B" w:rsidRPr="00522E63">
        <w:rPr>
          <w:rFonts w:eastAsia="Times New Roman" w:cs="Times New Roman"/>
          <w:b/>
          <w:color w:val="000000"/>
          <w:sz w:val="22"/>
          <w:lang w:val="en-GB"/>
        </w:rPr>
        <w:t xml:space="preserve"> |</w:t>
      </w:r>
      <w:proofErr w:type="gramEnd"/>
      <w:r w:rsidR="00523DC2" w:rsidRPr="00522E63">
        <w:rPr>
          <w:rFonts w:eastAsia="Times New Roman" w:cs="Times New Roman"/>
          <w:b/>
          <w:color w:val="000000"/>
          <w:sz w:val="22"/>
          <w:lang w:val="en-GB"/>
        </w:rPr>
        <w:t xml:space="preserve"> </w:t>
      </w:r>
      <w:r w:rsidR="00B7770B" w:rsidRPr="00522E63">
        <w:rPr>
          <w:rFonts w:eastAsia="Times New Roman" w:cs="Times New Roman"/>
          <w:b/>
          <w:color w:val="000000"/>
          <w:sz w:val="22"/>
          <w:lang w:val="en-GB"/>
        </w:rPr>
        <w:t xml:space="preserve"> </w:t>
      </w:r>
      <w:hyperlink r:id="rId14" w:history="1">
        <w:r w:rsidR="00B7770B" w:rsidRPr="00522E63">
          <w:rPr>
            <w:rStyle w:val="Hyperlink"/>
            <w:rFonts w:eastAsia="Times New Roman" w:cs="Times New Roman"/>
            <w:b/>
            <w:sz w:val="22"/>
            <w:lang w:val="en-GB"/>
          </w:rPr>
          <w:t>mihai.rotariu@dnsc.ro</w:t>
        </w:r>
      </w:hyperlink>
      <w:r w:rsidR="00B7770B" w:rsidRPr="00522E63">
        <w:rPr>
          <w:rFonts w:eastAsia="Times New Roman" w:cs="Times New Roman"/>
          <w:b/>
          <w:color w:val="000000"/>
          <w:sz w:val="22"/>
          <w:lang w:val="en-GB"/>
        </w:rPr>
        <w:t xml:space="preserve">  | </w:t>
      </w:r>
      <w:r w:rsidR="00523DC2" w:rsidRPr="00522E63">
        <w:rPr>
          <w:rFonts w:eastAsia="Times New Roman" w:cs="Times New Roman"/>
          <w:b/>
          <w:color w:val="000000"/>
          <w:sz w:val="22"/>
          <w:lang w:val="en-GB"/>
        </w:rPr>
        <w:t xml:space="preserve"> </w:t>
      </w:r>
      <w:r w:rsidR="00B7770B" w:rsidRPr="00522E63">
        <w:rPr>
          <w:rFonts w:eastAsia="Times New Roman" w:cs="Times New Roman"/>
          <w:b/>
          <w:color w:val="000000"/>
          <w:sz w:val="22"/>
          <w:lang w:val="en-GB"/>
        </w:rPr>
        <w:t>0740 066 866</w:t>
      </w:r>
    </w:p>
    <w:sectPr w:rsidR="00EC0CCA" w:rsidRPr="00522E63" w:rsidSect="00A65FD1">
      <w:headerReference w:type="default" r:id="rId15"/>
      <w:footerReference w:type="default" r:id="rId16"/>
      <w:headerReference w:type="first" r:id="rId17"/>
      <w:footerReference w:type="first" r:id="rId18"/>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EE11" w14:textId="77777777" w:rsidR="000C42A0" w:rsidRDefault="000C42A0" w:rsidP="00254B46">
      <w:pPr>
        <w:spacing w:before="0" w:line="240" w:lineRule="auto"/>
      </w:pPr>
      <w:r>
        <w:separator/>
      </w:r>
    </w:p>
  </w:endnote>
  <w:endnote w:type="continuationSeparator" w:id="0">
    <w:p w14:paraId="2CB32DA1" w14:textId="77777777" w:rsidR="000C42A0" w:rsidRDefault="000C42A0" w:rsidP="00254B46">
      <w:pPr>
        <w:spacing w:before="0" w:line="240" w:lineRule="auto"/>
      </w:pPr>
      <w:r>
        <w:continuationSeparator/>
      </w:r>
    </w:p>
  </w:endnote>
  <w:endnote w:type="continuationNotice" w:id="1">
    <w:p w14:paraId="66B42465" w14:textId="77777777" w:rsidR="000C42A0" w:rsidRDefault="000C42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6B3E1A36"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r w:rsidR="003E56E9">
      <w:rPr>
        <w:b/>
        <w:bCs/>
        <w:color w:val="808080" w:themeColor="background1" w:themeShade="80"/>
        <w:sz w:val="16"/>
        <w:szCs w:val="16"/>
        <w:lang w:val="en-GB"/>
      </w:rPr>
      <w:t>www.cert.ro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3A2A" w14:textId="77777777" w:rsidR="000C42A0" w:rsidRDefault="000C42A0" w:rsidP="00254B46">
      <w:pPr>
        <w:spacing w:before="0" w:line="240" w:lineRule="auto"/>
      </w:pPr>
      <w:r>
        <w:separator/>
      </w:r>
    </w:p>
  </w:footnote>
  <w:footnote w:type="continuationSeparator" w:id="0">
    <w:p w14:paraId="400B4F94" w14:textId="77777777" w:rsidR="000C42A0" w:rsidRDefault="000C42A0" w:rsidP="00254B46">
      <w:pPr>
        <w:spacing w:before="0" w:line="240" w:lineRule="auto"/>
      </w:pPr>
      <w:r>
        <w:continuationSeparator/>
      </w:r>
    </w:p>
  </w:footnote>
  <w:footnote w:type="continuationNotice" w:id="1">
    <w:p w14:paraId="3BA30EEC" w14:textId="77777777" w:rsidR="000C42A0" w:rsidRDefault="000C42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0E5F285E" w:rsidR="00264F80" w:rsidRPr="0078168A" w:rsidRDefault="005A5231" w:rsidP="00E83468">
    <w:pPr>
      <w:pStyle w:val="Header"/>
      <w:tabs>
        <w:tab w:val="clear" w:pos="4680"/>
        <w:tab w:val="clear" w:pos="9360"/>
      </w:tabs>
      <w:jc w:val="left"/>
      <w:rPr>
        <w:sz w:val="18"/>
        <w:szCs w:val="18"/>
      </w:rPr>
    </w:pPr>
    <w:r>
      <w:rPr>
        <w:noProof/>
      </w:rPr>
      <w:drawing>
        <wp:anchor distT="0" distB="0" distL="114300" distR="114300" simplePos="0" relativeHeight="251658240" behindDoc="1" locked="0" layoutInCell="1" allowOverlap="1" wp14:anchorId="246FF4CD" wp14:editId="791BE009">
          <wp:simplePos x="0" y="0"/>
          <wp:positionH relativeFrom="column">
            <wp:posOffset>3649980</wp:posOffset>
          </wp:positionH>
          <wp:positionV relativeFrom="paragraph">
            <wp:posOffset>-495935</wp:posOffset>
          </wp:positionV>
          <wp:extent cx="3143250" cy="209550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00A">
      <w:rPr>
        <w:noProof/>
        <w:lang w:val="en-GB" w:eastAsia="en-GB"/>
      </w:rPr>
      <w:drawing>
        <wp:inline distT="0" distB="0" distL="0" distR="0" wp14:anchorId="303634AB" wp14:editId="703E6B12">
          <wp:extent cx="3534916" cy="1202055"/>
          <wp:effectExtent l="0" t="0" r="889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4916" cy="1202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2A0"/>
    <w:rsid w:val="000C434A"/>
    <w:rsid w:val="000C5778"/>
    <w:rsid w:val="000D4576"/>
    <w:rsid w:val="000E0C76"/>
    <w:rsid w:val="000E10E0"/>
    <w:rsid w:val="000E3AC5"/>
    <w:rsid w:val="000E4F06"/>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5B5E"/>
    <w:rsid w:val="001760E3"/>
    <w:rsid w:val="001774E5"/>
    <w:rsid w:val="001779B9"/>
    <w:rsid w:val="00180CA2"/>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4B46"/>
    <w:rsid w:val="002552AD"/>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E73C5"/>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A1771"/>
    <w:rsid w:val="003B107B"/>
    <w:rsid w:val="003B22CF"/>
    <w:rsid w:val="003B2566"/>
    <w:rsid w:val="003B30C3"/>
    <w:rsid w:val="003C3172"/>
    <w:rsid w:val="003C7C31"/>
    <w:rsid w:val="003D0A43"/>
    <w:rsid w:val="003D1B75"/>
    <w:rsid w:val="003D1EA0"/>
    <w:rsid w:val="003D488D"/>
    <w:rsid w:val="003E027A"/>
    <w:rsid w:val="003E4037"/>
    <w:rsid w:val="003E56E9"/>
    <w:rsid w:val="003E7A22"/>
    <w:rsid w:val="003F01AC"/>
    <w:rsid w:val="003F2CA2"/>
    <w:rsid w:val="003F4E5F"/>
    <w:rsid w:val="004035AA"/>
    <w:rsid w:val="004050C4"/>
    <w:rsid w:val="00405B29"/>
    <w:rsid w:val="004119A0"/>
    <w:rsid w:val="0041595D"/>
    <w:rsid w:val="0041709F"/>
    <w:rsid w:val="00420F39"/>
    <w:rsid w:val="00423391"/>
    <w:rsid w:val="0042639A"/>
    <w:rsid w:val="00430563"/>
    <w:rsid w:val="00430FDF"/>
    <w:rsid w:val="00433CC6"/>
    <w:rsid w:val="004340A7"/>
    <w:rsid w:val="004353D5"/>
    <w:rsid w:val="00440B98"/>
    <w:rsid w:val="004526DC"/>
    <w:rsid w:val="004546C9"/>
    <w:rsid w:val="00456599"/>
    <w:rsid w:val="00457F9C"/>
    <w:rsid w:val="00461B52"/>
    <w:rsid w:val="004624A8"/>
    <w:rsid w:val="00464BCE"/>
    <w:rsid w:val="00470616"/>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2E63"/>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14FA"/>
    <w:rsid w:val="00562E78"/>
    <w:rsid w:val="00563F73"/>
    <w:rsid w:val="005667E0"/>
    <w:rsid w:val="00566B59"/>
    <w:rsid w:val="00570FAF"/>
    <w:rsid w:val="00583579"/>
    <w:rsid w:val="0058501B"/>
    <w:rsid w:val="00587B17"/>
    <w:rsid w:val="00590649"/>
    <w:rsid w:val="00594A63"/>
    <w:rsid w:val="005962F3"/>
    <w:rsid w:val="00596E75"/>
    <w:rsid w:val="00597D41"/>
    <w:rsid w:val="005A39C1"/>
    <w:rsid w:val="005A523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BFD"/>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3005"/>
    <w:rsid w:val="008F5B2D"/>
    <w:rsid w:val="0090319F"/>
    <w:rsid w:val="00904419"/>
    <w:rsid w:val="00912B9F"/>
    <w:rsid w:val="00922BA3"/>
    <w:rsid w:val="00927463"/>
    <w:rsid w:val="009274F8"/>
    <w:rsid w:val="009358C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27B5"/>
    <w:rsid w:val="009D2434"/>
    <w:rsid w:val="009E155B"/>
    <w:rsid w:val="009E3FAB"/>
    <w:rsid w:val="009E41BE"/>
    <w:rsid w:val="009E479A"/>
    <w:rsid w:val="009E4D74"/>
    <w:rsid w:val="009E6271"/>
    <w:rsid w:val="009F60CE"/>
    <w:rsid w:val="009F66D7"/>
    <w:rsid w:val="009F7595"/>
    <w:rsid w:val="00A007FA"/>
    <w:rsid w:val="00A01681"/>
    <w:rsid w:val="00A021E2"/>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2E6E"/>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46DC"/>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38D"/>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669B"/>
    <w:rsid w:val="00BE7573"/>
    <w:rsid w:val="00BF2014"/>
    <w:rsid w:val="00BF2748"/>
    <w:rsid w:val="00BF589A"/>
    <w:rsid w:val="00BF5F40"/>
    <w:rsid w:val="00BF753C"/>
    <w:rsid w:val="00BF7D09"/>
    <w:rsid w:val="00C113C5"/>
    <w:rsid w:val="00C114D0"/>
    <w:rsid w:val="00C137A3"/>
    <w:rsid w:val="00C14B41"/>
    <w:rsid w:val="00C164A4"/>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67D17"/>
    <w:rsid w:val="00D72811"/>
    <w:rsid w:val="00D737C4"/>
    <w:rsid w:val="00D74379"/>
    <w:rsid w:val="00D750A2"/>
    <w:rsid w:val="00D864D4"/>
    <w:rsid w:val="00D87E43"/>
    <w:rsid w:val="00D950AE"/>
    <w:rsid w:val="00DA067A"/>
    <w:rsid w:val="00DA6713"/>
    <w:rsid w:val="00DA6BFE"/>
    <w:rsid w:val="00DB0996"/>
    <w:rsid w:val="00DB6E0C"/>
    <w:rsid w:val="00DC2A8A"/>
    <w:rsid w:val="00DD0398"/>
    <w:rsid w:val="00DD1D51"/>
    <w:rsid w:val="00DD1F42"/>
    <w:rsid w:val="00DD29BD"/>
    <w:rsid w:val="00DD45FE"/>
    <w:rsid w:val="00DD58AE"/>
    <w:rsid w:val="00DF320E"/>
    <w:rsid w:val="00DF682A"/>
    <w:rsid w:val="00E0237A"/>
    <w:rsid w:val="00E05556"/>
    <w:rsid w:val="00E0667A"/>
    <w:rsid w:val="00E21894"/>
    <w:rsid w:val="00E21B78"/>
    <w:rsid w:val="00E222B9"/>
    <w:rsid w:val="00E2328F"/>
    <w:rsid w:val="00E243CD"/>
    <w:rsid w:val="00E312F5"/>
    <w:rsid w:val="00E34642"/>
    <w:rsid w:val="00E34731"/>
    <w:rsid w:val="00E52F41"/>
    <w:rsid w:val="00E53F23"/>
    <w:rsid w:val="00E63604"/>
    <w:rsid w:val="00E65127"/>
    <w:rsid w:val="00E67CBF"/>
    <w:rsid w:val="00E716C6"/>
    <w:rsid w:val="00E73FE2"/>
    <w:rsid w:val="00E74E71"/>
    <w:rsid w:val="00E76DA5"/>
    <w:rsid w:val="00E80013"/>
    <w:rsid w:val="00E8111C"/>
    <w:rsid w:val="00E8194E"/>
    <w:rsid w:val="00E82373"/>
    <w:rsid w:val="00E83468"/>
    <w:rsid w:val="00E85AEE"/>
    <w:rsid w:val="00E87B78"/>
    <w:rsid w:val="00EA1D23"/>
    <w:rsid w:val="00EA3D21"/>
    <w:rsid w:val="00EB49B5"/>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1068"/>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styleId="Revision">
    <w:name w:val="Revision"/>
    <w:hidden/>
    <w:uiPriority w:val="99"/>
    <w:semiHidden/>
    <w:rsid w:val="003E027A"/>
    <w:pPr>
      <w:spacing w:after="0" w:line="240" w:lineRule="auto"/>
    </w:pPr>
    <w:rPr>
      <w:rFonts w:ascii="Trebuchet MS" w:hAnsi="Trebuchet MS"/>
      <w:sz w:val="24"/>
      <w:lang w:val="ro-RO"/>
    </w:rPr>
  </w:style>
  <w:style w:type="character" w:styleId="FollowedHyperlink">
    <w:name w:val="FollowedHyperlink"/>
    <w:basedOn w:val="DefaultParagraphFont"/>
    <w:uiPriority w:val="99"/>
    <w:semiHidden/>
    <w:unhideWhenUsed/>
    <w:rsid w:val="0043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148248">
      <w:bodyDiv w:val="1"/>
      <w:marLeft w:val="0"/>
      <w:marRight w:val="0"/>
      <w:marTop w:val="0"/>
      <w:marBottom w:val="0"/>
      <w:divBdr>
        <w:top w:val="none" w:sz="0" w:space="0" w:color="auto"/>
        <w:left w:val="none" w:sz="0" w:space="0" w:color="auto"/>
        <w:bottom w:val="none" w:sz="0" w:space="0" w:color="auto"/>
        <w:right w:val="none" w:sz="0" w:space="0" w:color="auto"/>
      </w:divBdr>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calex.r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nsc.ro/vezi/document/dnsc-decalex-ghid-practic-privind-gestionarea-datelor-cu-caracter-personal-de-catre-compani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nsc.ro/vezi/document/dnsc-decalex-ghid-practic-privind-gestionarea-datelor-cu-caracter-personal-de-catre-compani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hai.rotariu@dnsc.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2.xml><?xml version="1.0" encoding="utf-8"?>
<ds:datastoreItem xmlns:ds="http://schemas.openxmlformats.org/officeDocument/2006/customXml" ds:itemID="{9F8BAAD5-509D-4877-B573-AE3C577E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4.xml><?xml version="1.0" encoding="utf-8"?>
<ds:datastoreItem xmlns:ds="http://schemas.openxmlformats.org/officeDocument/2006/customXml" ds:itemID="{59BB23D2-A703-4B3D-95BB-A52846C8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3568</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4185</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3</cp:revision>
  <cp:lastPrinted>2022-10-11T12:45:00Z</cp:lastPrinted>
  <dcterms:created xsi:type="dcterms:W3CDTF">2022-10-11T12:44:00Z</dcterms:created>
  <dcterms:modified xsi:type="dcterms:W3CDTF">2022-10-11T12:47:00Z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